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C3C" w:rsidRDefault="00106C3C" w:rsidP="004327D2">
      <w:pPr>
        <w:rPr>
          <w:rFonts w:ascii="Segoe UI" w:hAnsi="Segoe UI" w:cs="Segoe UI"/>
          <w:b/>
          <w:i/>
          <w:sz w:val="20"/>
          <w:szCs w:val="20"/>
        </w:rPr>
      </w:pPr>
      <w:bookmarkStart w:id="0" w:name="_GoBack"/>
      <w:bookmarkEnd w:id="0"/>
    </w:p>
    <w:p w:rsidR="00D518FF" w:rsidRDefault="00FE494B" w:rsidP="005F7588">
      <w:pPr>
        <w:spacing w:before="1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The first several strategies and approaches </w:t>
      </w:r>
      <w:r w:rsidR="0088251B">
        <w:rPr>
          <w:rFonts w:ascii="Segoe UI" w:hAnsi="Segoe UI" w:cs="Segoe UI"/>
          <w:sz w:val="20"/>
          <w:szCs w:val="20"/>
        </w:rPr>
        <w:t>in the Tribal Adaptation Menu</w:t>
      </w:r>
      <w:r w:rsidR="005F7588">
        <w:rPr>
          <w:rFonts w:ascii="Segoe UI" w:hAnsi="Segoe UI" w:cs="Segoe UI"/>
          <w:sz w:val="20"/>
          <w:szCs w:val="20"/>
        </w:rPr>
        <w:t xml:space="preserve"> describe how cultural</w:t>
      </w:r>
      <w:r>
        <w:rPr>
          <w:rFonts w:ascii="Segoe UI" w:hAnsi="Segoe UI" w:cs="Segoe UI"/>
          <w:sz w:val="20"/>
          <w:szCs w:val="20"/>
        </w:rPr>
        <w:t xml:space="preserve"> &amp; </w:t>
      </w:r>
      <w:r w:rsidR="005F7588">
        <w:rPr>
          <w:rFonts w:ascii="Segoe UI" w:hAnsi="Segoe UI" w:cs="Segoe UI"/>
          <w:sz w:val="20"/>
          <w:szCs w:val="20"/>
        </w:rPr>
        <w:t xml:space="preserve">spiritual knowledge and tribal engagement can help support climate adaptation (please see full </w:t>
      </w:r>
      <w:r w:rsidR="00AC6B9B">
        <w:rPr>
          <w:rFonts w:ascii="Segoe UI" w:hAnsi="Segoe UI" w:cs="Segoe UI"/>
          <w:sz w:val="20"/>
          <w:szCs w:val="20"/>
        </w:rPr>
        <w:t>Tribal Adaptation Menu</w:t>
      </w:r>
      <w:r w:rsidR="005F7588">
        <w:rPr>
          <w:rFonts w:ascii="Segoe UI" w:hAnsi="Segoe UI" w:cs="Segoe UI"/>
          <w:sz w:val="20"/>
          <w:szCs w:val="20"/>
        </w:rPr>
        <w:t xml:space="preserve"> for more detail on each </w:t>
      </w:r>
      <w:r w:rsidR="0088251B">
        <w:rPr>
          <w:rFonts w:ascii="Segoe UI" w:hAnsi="Segoe UI" w:cs="Segoe UI"/>
          <w:sz w:val="20"/>
          <w:szCs w:val="20"/>
        </w:rPr>
        <w:t xml:space="preserve">strategy and </w:t>
      </w:r>
      <w:r w:rsidR="005F7588">
        <w:rPr>
          <w:rFonts w:ascii="Segoe UI" w:hAnsi="Segoe UI" w:cs="Segoe UI"/>
          <w:sz w:val="20"/>
          <w:szCs w:val="20"/>
        </w:rPr>
        <w:t xml:space="preserve">approach). Please list some of the ways (if applicable) that you are already incorporating these </w:t>
      </w:r>
      <w:r w:rsidR="0088251B">
        <w:rPr>
          <w:rFonts w:ascii="Segoe UI" w:hAnsi="Segoe UI" w:cs="Segoe UI"/>
          <w:sz w:val="20"/>
          <w:szCs w:val="20"/>
        </w:rPr>
        <w:t xml:space="preserve">ideas </w:t>
      </w:r>
      <w:r w:rsidR="005F7588">
        <w:rPr>
          <w:rFonts w:ascii="Segoe UI" w:hAnsi="Segoe UI" w:cs="Segoe UI"/>
          <w:sz w:val="20"/>
          <w:szCs w:val="20"/>
        </w:rPr>
        <w:t>into your project</w:t>
      </w:r>
      <w:r>
        <w:rPr>
          <w:rFonts w:ascii="Segoe UI" w:hAnsi="Segoe UI" w:cs="Segoe UI"/>
          <w:sz w:val="20"/>
          <w:szCs w:val="20"/>
        </w:rPr>
        <w:t xml:space="preserve">. </w:t>
      </w:r>
      <w:r w:rsidR="00B27E97">
        <w:rPr>
          <w:rFonts w:ascii="Segoe UI" w:hAnsi="Segoe UI" w:cs="Segoe UI"/>
          <w:sz w:val="20"/>
          <w:szCs w:val="20"/>
        </w:rPr>
        <w:t xml:space="preserve">For example, if there are documented stories and teachings from elders that could be </w:t>
      </w:r>
      <w:r w:rsidR="0086598D">
        <w:rPr>
          <w:rFonts w:ascii="Segoe UI" w:hAnsi="Segoe UI" w:cs="Segoe UI"/>
          <w:sz w:val="20"/>
          <w:szCs w:val="20"/>
        </w:rPr>
        <w:t xml:space="preserve">useful to guide your </w:t>
      </w:r>
      <w:r w:rsidR="00B27E97">
        <w:rPr>
          <w:rFonts w:ascii="Segoe UI" w:hAnsi="Segoe UI" w:cs="Segoe UI"/>
          <w:sz w:val="20"/>
          <w:szCs w:val="20"/>
        </w:rPr>
        <w:t xml:space="preserve"> project</w:t>
      </w:r>
      <w:r w:rsidR="0086598D">
        <w:rPr>
          <w:rFonts w:ascii="Segoe UI" w:hAnsi="Segoe UI" w:cs="Segoe UI"/>
          <w:sz w:val="20"/>
          <w:szCs w:val="20"/>
        </w:rPr>
        <w:t>, you can write down helpful notes about how you’ve incorporated those teachings into your work or who you’ve contacted thus</w:t>
      </w:r>
      <w:r w:rsidR="00543A17">
        <w:rPr>
          <w:rFonts w:ascii="Segoe UI" w:hAnsi="Segoe UI" w:cs="Segoe UI"/>
          <w:sz w:val="20"/>
          <w:szCs w:val="20"/>
        </w:rPr>
        <w:t xml:space="preserve"> </w:t>
      </w:r>
      <w:r w:rsidR="0086598D">
        <w:rPr>
          <w:rFonts w:ascii="Segoe UI" w:hAnsi="Segoe UI" w:cs="Segoe UI"/>
          <w:sz w:val="20"/>
          <w:szCs w:val="20"/>
        </w:rPr>
        <w:t xml:space="preserve">far </w:t>
      </w:r>
      <w:r w:rsidR="00B27E97">
        <w:rPr>
          <w:rFonts w:ascii="Segoe UI" w:hAnsi="Segoe UI" w:cs="Segoe UI"/>
          <w:sz w:val="20"/>
          <w:szCs w:val="20"/>
        </w:rPr>
        <w:t xml:space="preserve"> (Approach 1.3).</w:t>
      </w:r>
      <w:r w:rsidR="00D518FF">
        <w:rPr>
          <w:rFonts w:ascii="Segoe UI" w:hAnsi="Segoe UI" w:cs="Segoe UI"/>
          <w:sz w:val="20"/>
          <w:szCs w:val="20"/>
        </w:rPr>
        <w:t xml:space="preserve"> </w:t>
      </w:r>
    </w:p>
    <w:p w:rsidR="005F7588" w:rsidRDefault="005F7588" w:rsidP="005F7588">
      <w:pPr>
        <w:spacing w:before="120"/>
        <w:rPr>
          <w:rFonts w:ascii="Segoe UI" w:hAnsi="Segoe UI" w:cs="Segoe UI"/>
          <w:sz w:val="20"/>
          <w:szCs w:val="20"/>
        </w:rPr>
      </w:pPr>
    </w:p>
    <w:p w:rsidR="005F7588" w:rsidRPr="005F7588" w:rsidRDefault="005F7588" w:rsidP="005F7588">
      <w:pPr>
        <w:rPr>
          <w:rFonts w:ascii="Segoe UI" w:hAnsi="Segoe UI" w:cs="Segoe UI"/>
          <w:b/>
          <w:i/>
          <w:sz w:val="20"/>
          <w:szCs w:val="20"/>
        </w:rPr>
      </w:pPr>
      <w:r w:rsidRPr="005F7588">
        <w:rPr>
          <w:rFonts w:ascii="Segoe UI" w:hAnsi="Segoe UI" w:cs="Segoe UI"/>
          <w:b/>
          <w:i/>
          <w:sz w:val="20"/>
          <w:szCs w:val="20"/>
        </w:rPr>
        <w:t xml:space="preserve">Strategy 1: Consider cultural practices and seek spiritual guidance.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 xml:space="preserve">Approach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1.1. Consult cultural leaders, key community members, and elders.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1.2. Consider mindful practices of reciprocity.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1.3. Understand the human and landscape history of the community.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1.4. Hold respect for all of our relations, both tangible and intangible    </w:t>
      </w:r>
    </w:p>
    <w:p w:rsid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1.5. Maintain dynamic relationships in a changing landscape.    </w:t>
      </w:r>
    </w:p>
    <w:p w:rsidR="005F7588" w:rsidRPr="005F7588" w:rsidRDefault="005F7588" w:rsidP="005F7588">
      <w:pPr>
        <w:ind w:left="144"/>
        <w:rPr>
          <w:rFonts w:ascii="Segoe UI" w:hAnsi="Segoe UI" w:cs="Segoe UI"/>
          <w:i/>
          <w:sz w:val="20"/>
          <w:szCs w:val="20"/>
        </w:rPr>
      </w:pPr>
    </w:p>
    <w:p w:rsidR="005F7588" w:rsidRPr="005F7588" w:rsidRDefault="005F7588" w:rsidP="005F7588">
      <w:pPr>
        <w:rPr>
          <w:rFonts w:ascii="Segoe UI" w:hAnsi="Segoe UI" w:cs="Segoe UI"/>
          <w:b/>
          <w:i/>
          <w:sz w:val="20"/>
          <w:szCs w:val="20"/>
        </w:rPr>
      </w:pPr>
      <w:r w:rsidRPr="005F7588">
        <w:rPr>
          <w:rFonts w:ascii="Segoe UI" w:hAnsi="Segoe UI" w:cs="Segoe UI"/>
          <w:b/>
          <w:i/>
          <w:sz w:val="20"/>
          <w:szCs w:val="20"/>
        </w:rPr>
        <w:t xml:space="preserve">Strategy 2: Learn through careful and respectful observation (gikinawaabi).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2.1. Learn from beings and natural communities as they respond to changing conditions over time.    </w:t>
      </w:r>
    </w:p>
    <w:p w:rsidR="005F7588" w:rsidRDefault="005F7588" w:rsidP="005F7588">
      <w:pPr>
        <w:rPr>
          <w:rFonts w:ascii="Segoe UI" w:hAnsi="Segoe UI" w:cs="Segoe UI"/>
          <w:b/>
          <w:i/>
          <w:sz w:val="20"/>
          <w:szCs w:val="20"/>
        </w:rPr>
      </w:pPr>
    </w:p>
    <w:p w:rsidR="005F7588" w:rsidRPr="005F7588" w:rsidRDefault="005F7588" w:rsidP="005F7588">
      <w:pPr>
        <w:rPr>
          <w:rFonts w:ascii="Segoe UI" w:hAnsi="Segoe UI" w:cs="Segoe UI"/>
          <w:b/>
          <w:i/>
          <w:sz w:val="20"/>
          <w:szCs w:val="20"/>
        </w:rPr>
      </w:pPr>
      <w:r w:rsidRPr="005F7588">
        <w:rPr>
          <w:rFonts w:ascii="Segoe UI" w:hAnsi="Segoe UI" w:cs="Segoe UI"/>
          <w:b/>
          <w:i/>
          <w:sz w:val="20"/>
          <w:szCs w:val="20"/>
        </w:rPr>
        <w:t xml:space="preserve">Strategy 3: Support tribal engagement in the environment.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3.1. Maintain and revitalize traditional relationships and uses.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3.2. Establish and support language revitalization programs.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3.3. Establish, maintain, and identify existing inventory and monitoring programs.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3.4. Establish and maintain cultural, environmental education, and youth programs.    </w:t>
      </w:r>
    </w:p>
    <w:p w:rsidR="005F7588" w:rsidRP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 xml:space="preserve">3.5. Communicate opportunities for use of tribal and public lands.    </w:t>
      </w:r>
    </w:p>
    <w:p w:rsidR="005F7588" w:rsidRDefault="00FE494B" w:rsidP="005F7588">
      <w:pPr>
        <w:ind w:left="144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Approach</w:t>
      </w:r>
      <w:r w:rsidRPr="005F7588">
        <w:rPr>
          <w:rFonts w:ascii="Segoe UI" w:hAnsi="Segoe UI" w:cs="Segoe UI"/>
          <w:i/>
          <w:sz w:val="20"/>
          <w:szCs w:val="20"/>
        </w:rPr>
        <w:t xml:space="preserve"> </w:t>
      </w:r>
      <w:r w:rsidR="005F7588" w:rsidRPr="005F7588">
        <w:rPr>
          <w:rFonts w:ascii="Segoe UI" w:hAnsi="Segoe UI" w:cs="Segoe UI"/>
          <w:i/>
          <w:sz w:val="20"/>
          <w:szCs w:val="20"/>
        </w:rPr>
        <w:t>3.6. Participate in local- and landscape-level management decisions with partner agencies.</w:t>
      </w:r>
    </w:p>
    <w:p w:rsidR="005F7588" w:rsidRDefault="005F7588" w:rsidP="005F7588">
      <w:pPr>
        <w:ind w:left="144"/>
        <w:rPr>
          <w:rFonts w:ascii="Segoe UI" w:hAnsi="Segoe UI" w:cs="Segoe UI"/>
          <w:i/>
          <w:sz w:val="20"/>
          <w:szCs w:val="20"/>
        </w:rPr>
      </w:pPr>
    </w:p>
    <w:tbl>
      <w:tblPr>
        <w:tblW w:w="0" w:type="auto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ook w:val="04A0" w:firstRow="1" w:lastRow="0" w:firstColumn="1" w:lastColumn="0" w:noHBand="0" w:noVBand="1"/>
      </w:tblPr>
      <w:tblGrid>
        <w:gridCol w:w="3168"/>
        <w:gridCol w:w="6954"/>
      </w:tblGrid>
      <w:tr w:rsidR="005F7588" w:rsidRPr="008F268F" w:rsidTr="008F268F">
        <w:trPr>
          <w:trHeight w:val="265"/>
        </w:trPr>
        <w:tc>
          <w:tcPr>
            <w:tcW w:w="3168" w:type="dxa"/>
            <w:tcBorders>
              <w:bottom w:val="single" w:sz="12" w:space="0" w:color="A8D08D"/>
            </w:tcBorders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8F268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Strategy/Approach</w:t>
            </w:r>
          </w:p>
        </w:tc>
        <w:tc>
          <w:tcPr>
            <w:tcW w:w="6954" w:type="dxa"/>
            <w:tcBorders>
              <w:bottom w:val="single" w:sz="12" w:space="0" w:color="A8D08D"/>
            </w:tcBorders>
            <w:shd w:val="clear" w:color="auto" w:fill="auto"/>
          </w:tcPr>
          <w:p w:rsidR="005F7588" w:rsidRPr="008F268F" w:rsidRDefault="0086598D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 xml:space="preserve"> Notes and details</w:t>
            </w:r>
          </w:p>
        </w:tc>
      </w:tr>
      <w:tr w:rsidR="005F7588" w:rsidRPr="008F268F" w:rsidTr="008F268F">
        <w:trPr>
          <w:trHeight w:val="281"/>
        </w:trPr>
        <w:tc>
          <w:tcPr>
            <w:tcW w:w="3168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954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5F7588" w:rsidRPr="008F268F" w:rsidTr="008F268F">
        <w:trPr>
          <w:trHeight w:val="265"/>
        </w:trPr>
        <w:tc>
          <w:tcPr>
            <w:tcW w:w="3168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954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5F7588" w:rsidRPr="008F268F" w:rsidTr="008F268F">
        <w:trPr>
          <w:trHeight w:val="281"/>
        </w:trPr>
        <w:tc>
          <w:tcPr>
            <w:tcW w:w="3168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954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5F7588" w:rsidRPr="008F268F" w:rsidTr="008F268F">
        <w:trPr>
          <w:trHeight w:val="281"/>
        </w:trPr>
        <w:tc>
          <w:tcPr>
            <w:tcW w:w="3168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954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5F7588" w:rsidRPr="008F268F" w:rsidTr="008F268F">
        <w:trPr>
          <w:trHeight w:val="281"/>
        </w:trPr>
        <w:tc>
          <w:tcPr>
            <w:tcW w:w="3168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954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5F7588" w:rsidRPr="008F268F" w:rsidTr="008F268F">
        <w:trPr>
          <w:trHeight w:val="281"/>
        </w:trPr>
        <w:tc>
          <w:tcPr>
            <w:tcW w:w="3168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  <w:p w:rsidR="005F7588" w:rsidRPr="008F268F" w:rsidRDefault="005F7588" w:rsidP="005F7588">
            <w:pPr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954" w:type="dxa"/>
            <w:shd w:val="clear" w:color="auto" w:fill="auto"/>
          </w:tcPr>
          <w:p w:rsidR="005F7588" w:rsidRPr="008F268F" w:rsidRDefault="005F7588" w:rsidP="005F7588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:rsidR="005F7588" w:rsidRPr="005F7588" w:rsidRDefault="005F7588" w:rsidP="005F7588">
      <w:pPr>
        <w:ind w:left="144"/>
        <w:rPr>
          <w:rFonts w:ascii="Segoe UI" w:hAnsi="Segoe UI" w:cs="Segoe UI"/>
          <w:i/>
          <w:sz w:val="20"/>
          <w:szCs w:val="20"/>
        </w:rPr>
      </w:pPr>
    </w:p>
    <w:sectPr w:rsidR="005F7588" w:rsidRPr="005F7588" w:rsidSect="00C1149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19F" w:rsidRDefault="004E719F" w:rsidP="009F7D14">
      <w:r>
        <w:separator/>
      </w:r>
    </w:p>
  </w:endnote>
  <w:endnote w:type="continuationSeparator" w:id="0">
    <w:p w:rsidR="004E719F" w:rsidRDefault="004E719F" w:rsidP="009F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588" w:rsidRPr="00D518FF" w:rsidRDefault="00D518FF" w:rsidP="00D518FF">
    <w:pPr>
      <w:spacing w:before="120"/>
      <w:rPr>
        <w:rFonts w:ascii="Segoe UI" w:hAnsi="Segoe UI" w:cs="Segoe UI"/>
        <w:sz w:val="20"/>
        <w:szCs w:val="20"/>
      </w:rPr>
    </w:pPr>
    <w:r>
      <w:rPr>
        <w:rFonts w:ascii="Segoe UI" w:hAnsi="Segoe UI" w:cs="Segoe UI"/>
        <w:sz w:val="20"/>
        <w:szCs w:val="20"/>
      </w:rPr>
      <w:t>The adaptation menu for this topic is in draft form. Contact Kristen Schmitt, NIACS (</w:t>
    </w:r>
    <w:hyperlink r:id="rId1" w:history="1">
      <w:r w:rsidRPr="00032A39">
        <w:rPr>
          <w:rStyle w:val="Hyperlink"/>
          <w:rFonts w:ascii="Segoe UI" w:hAnsi="Segoe UI" w:cs="Segoe UI"/>
          <w:sz w:val="20"/>
          <w:szCs w:val="20"/>
        </w:rPr>
        <w:t>kmschmit@mtu.edu</w:t>
      </w:r>
    </w:hyperlink>
    <w:r>
      <w:rPr>
        <w:rFonts w:ascii="Segoe UI" w:hAnsi="Segoe UI" w:cs="Segoe UI"/>
        <w:sz w:val="20"/>
        <w:szCs w:val="20"/>
      </w:rPr>
      <w:t>), or Rob Croll, GLIFWC (</w:t>
    </w:r>
    <w:hyperlink r:id="rId2" w:history="1">
      <w:r w:rsidRPr="00032A39">
        <w:rPr>
          <w:rStyle w:val="Hyperlink"/>
          <w:rFonts w:ascii="Segoe UI" w:hAnsi="Segoe UI" w:cs="Segoe UI"/>
          <w:sz w:val="20"/>
          <w:szCs w:val="20"/>
        </w:rPr>
        <w:t>rcroll@glifwc.org</w:t>
      </w:r>
    </w:hyperlink>
    <w:r>
      <w:rPr>
        <w:rFonts w:ascii="Segoe UI" w:hAnsi="Segoe UI" w:cs="Segoe UI"/>
        <w:sz w:val="20"/>
        <w:szCs w:val="20"/>
      </w:rPr>
      <w:t xml:space="preserve">) to view a long-form draft of the adaptation resources, or for more information on this effort.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19F" w:rsidRDefault="004E719F" w:rsidP="009F7D14">
      <w:r>
        <w:separator/>
      </w:r>
    </w:p>
  </w:footnote>
  <w:footnote w:type="continuationSeparator" w:id="0">
    <w:p w:rsidR="004E719F" w:rsidRDefault="004E719F" w:rsidP="009F7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588" w:rsidRDefault="005F7588" w:rsidP="00AA62B6">
    <w:pPr>
      <w:pStyle w:val="Header"/>
      <w:jc w:val="center"/>
      <w:rPr>
        <w:rFonts w:ascii="Segoe UI" w:hAnsi="Segoe UI" w:cs="Segoe UI"/>
      </w:rPr>
    </w:pPr>
    <w:r w:rsidRPr="00AA62B6">
      <w:rPr>
        <w:rFonts w:ascii="Segoe UI" w:hAnsi="Segoe UI" w:cs="Segoe UI"/>
      </w:rPr>
      <w:t>Culturally Relevant</w:t>
    </w:r>
    <w:r>
      <w:rPr>
        <w:rFonts w:ascii="Segoe UI" w:hAnsi="Segoe UI" w:cs="Segoe UI"/>
      </w:rPr>
      <w:t xml:space="preserve"> </w:t>
    </w:r>
    <w:r w:rsidRPr="00AA62B6">
      <w:rPr>
        <w:rFonts w:ascii="Segoe UI" w:hAnsi="Segoe UI" w:cs="Segoe UI"/>
      </w:rPr>
      <w:t>Climate Change Adaptation Planning</w:t>
    </w:r>
    <w:r>
      <w:rPr>
        <w:rFonts w:ascii="Segoe UI" w:hAnsi="Segoe UI" w:cs="Segoe UI"/>
      </w:rPr>
      <w:t xml:space="preserve"> </w:t>
    </w:r>
  </w:p>
  <w:p w:rsidR="005F7588" w:rsidRPr="00022EBB" w:rsidRDefault="005F7588" w:rsidP="00AA62B6">
    <w:pPr>
      <w:pStyle w:val="Header"/>
      <w:jc w:val="center"/>
      <w:rPr>
        <w:rFonts w:ascii="Segoe UI" w:hAnsi="Segoe UI" w:cs="Segoe UI"/>
      </w:rPr>
    </w:pPr>
    <w:r w:rsidRPr="00AA62B6">
      <w:rPr>
        <w:rFonts w:ascii="Segoe UI" w:hAnsi="Segoe UI" w:cs="Segoe UI"/>
      </w:rPr>
      <w:t>for Tribes and Tribal Partners</w:t>
    </w:r>
    <w:r>
      <w:rPr>
        <w:rFonts w:ascii="Segoe UI" w:hAnsi="Segoe UI" w:cs="Segoe UI"/>
      </w:rPr>
      <w:t xml:space="preserve"> – Project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C0F15"/>
    <w:multiLevelType w:val="hybridMultilevel"/>
    <w:tmpl w:val="8304CDE6"/>
    <w:lvl w:ilvl="0" w:tplc="E4AC4A32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27646"/>
    <w:multiLevelType w:val="hybridMultilevel"/>
    <w:tmpl w:val="7B3AD6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53E6"/>
    <w:multiLevelType w:val="hybridMultilevel"/>
    <w:tmpl w:val="C81EA22E"/>
    <w:lvl w:ilvl="0" w:tplc="C464C4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83A75"/>
    <w:multiLevelType w:val="hybridMultilevel"/>
    <w:tmpl w:val="D7709056"/>
    <w:lvl w:ilvl="0" w:tplc="C464C486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2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0724B"/>
    <w:multiLevelType w:val="hybridMultilevel"/>
    <w:tmpl w:val="F330FD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B77C5"/>
    <w:multiLevelType w:val="hybridMultilevel"/>
    <w:tmpl w:val="1A3601C2"/>
    <w:lvl w:ilvl="0" w:tplc="C464C4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C4440"/>
    <w:multiLevelType w:val="hybridMultilevel"/>
    <w:tmpl w:val="170697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9" w15:restartNumberingAfterBreak="0">
    <w:nsid w:val="77AC634A"/>
    <w:multiLevelType w:val="hybridMultilevel"/>
    <w:tmpl w:val="C6EAA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32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2"/>
  </w:num>
  <w:num w:numId="4">
    <w:abstractNumId w:val="4"/>
  </w:num>
  <w:num w:numId="5">
    <w:abstractNumId w:val="21"/>
  </w:num>
  <w:num w:numId="6">
    <w:abstractNumId w:val="28"/>
  </w:num>
  <w:num w:numId="7">
    <w:abstractNumId w:val="31"/>
  </w:num>
  <w:num w:numId="8">
    <w:abstractNumId w:val="26"/>
  </w:num>
  <w:num w:numId="9">
    <w:abstractNumId w:val="1"/>
  </w:num>
  <w:num w:numId="10">
    <w:abstractNumId w:val="25"/>
  </w:num>
  <w:num w:numId="11">
    <w:abstractNumId w:val="5"/>
  </w:num>
  <w:num w:numId="12">
    <w:abstractNumId w:val="32"/>
  </w:num>
  <w:num w:numId="13">
    <w:abstractNumId w:val="15"/>
  </w:num>
  <w:num w:numId="14">
    <w:abstractNumId w:val="19"/>
  </w:num>
  <w:num w:numId="15">
    <w:abstractNumId w:val="0"/>
  </w:num>
  <w:num w:numId="16">
    <w:abstractNumId w:val="8"/>
  </w:num>
  <w:num w:numId="17">
    <w:abstractNumId w:val="27"/>
  </w:num>
  <w:num w:numId="18">
    <w:abstractNumId w:val="2"/>
  </w:num>
  <w:num w:numId="19">
    <w:abstractNumId w:val="14"/>
  </w:num>
  <w:num w:numId="20">
    <w:abstractNumId w:val="18"/>
  </w:num>
  <w:num w:numId="21">
    <w:abstractNumId w:val="13"/>
  </w:num>
  <w:num w:numId="22">
    <w:abstractNumId w:val="10"/>
  </w:num>
  <w:num w:numId="23">
    <w:abstractNumId w:val="30"/>
  </w:num>
  <w:num w:numId="24">
    <w:abstractNumId w:val="16"/>
  </w:num>
  <w:num w:numId="25">
    <w:abstractNumId w:val="22"/>
  </w:num>
  <w:num w:numId="26">
    <w:abstractNumId w:val="3"/>
  </w:num>
  <w:num w:numId="27">
    <w:abstractNumId w:val="7"/>
  </w:num>
  <w:num w:numId="28">
    <w:abstractNumId w:val="23"/>
  </w:num>
  <w:num w:numId="29">
    <w:abstractNumId w:val="17"/>
  </w:num>
  <w:num w:numId="30">
    <w:abstractNumId w:val="11"/>
  </w:num>
  <w:num w:numId="31">
    <w:abstractNumId w:val="20"/>
  </w:num>
  <w:num w:numId="32">
    <w:abstractNumId w:val="29"/>
  </w:num>
  <w:num w:numId="33">
    <w:abstractNumId w:val="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CD"/>
    <w:rsid w:val="000130A4"/>
    <w:rsid w:val="00022EBB"/>
    <w:rsid w:val="00055FCA"/>
    <w:rsid w:val="000700FD"/>
    <w:rsid w:val="0007756B"/>
    <w:rsid w:val="00091971"/>
    <w:rsid w:val="000C5C6C"/>
    <w:rsid w:val="00106C3C"/>
    <w:rsid w:val="001E2177"/>
    <w:rsid w:val="002229E8"/>
    <w:rsid w:val="00252315"/>
    <w:rsid w:val="002637A9"/>
    <w:rsid w:val="002876FC"/>
    <w:rsid w:val="002E7374"/>
    <w:rsid w:val="00314F8A"/>
    <w:rsid w:val="003514B5"/>
    <w:rsid w:val="00410EAE"/>
    <w:rsid w:val="004327D2"/>
    <w:rsid w:val="00467EA3"/>
    <w:rsid w:val="00484212"/>
    <w:rsid w:val="004E719F"/>
    <w:rsid w:val="00543A17"/>
    <w:rsid w:val="005E6054"/>
    <w:rsid w:val="005F7588"/>
    <w:rsid w:val="006738AD"/>
    <w:rsid w:val="006A0213"/>
    <w:rsid w:val="006F2A45"/>
    <w:rsid w:val="007623C3"/>
    <w:rsid w:val="0079738C"/>
    <w:rsid w:val="007A5480"/>
    <w:rsid w:val="007D1D13"/>
    <w:rsid w:val="007E5CD2"/>
    <w:rsid w:val="007F1398"/>
    <w:rsid w:val="00823590"/>
    <w:rsid w:val="0086598D"/>
    <w:rsid w:val="0088251B"/>
    <w:rsid w:val="00887D34"/>
    <w:rsid w:val="0089395E"/>
    <w:rsid w:val="008B1ACA"/>
    <w:rsid w:val="008B4ED1"/>
    <w:rsid w:val="008F268F"/>
    <w:rsid w:val="00982CB9"/>
    <w:rsid w:val="009D46F0"/>
    <w:rsid w:val="009F7D14"/>
    <w:rsid w:val="00A02E45"/>
    <w:rsid w:val="00A604B8"/>
    <w:rsid w:val="00A861CD"/>
    <w:rsid w:val="00A97ECA"/>
    <w:rsid w:val="00AA62B6"/>
    <w:rsid w:val="00AC6B9B"/>
    <w:rsid w:val="00B16F7B"/>
    <w:rsid w:val="00B278D2"/>
    <w:rsid w:val="00B27E97"/>
    <w:rsid w:val="00B73173"/>
    <w:rsid w:val="00BB30AA"/>
    <w:rsid w:val="00C11497"/>
    <w:rsid w:val="00C13DA5"/>
    <w:rsid w:val="00CC452C"/>
    <w:rsid w:val="00D00130"/>
    <w:rsid w:val="00D138AE"/>
    <w:rsid w:val="00D518FF"/>
    <w:rsid w:val="00D524FE"/>
    <w:rsid w:val="00D673E5"/>
    <w:rsid w:val="00DA5491"/>
    <w:rsid w:val="00DD577E"/>
    <w:rsid w:val="00DE1F1C"/>
    <w:rsid w:val="00E436AA"/>
    <w:rsid w:val="00E569BF"/>
    <w:rsid w:val="00E76BB4"/>
    <w:rsid w:val="00E9772A"/>
    <w:rsid w:val="00F3093B"/>
    <w:rsid w:val="00F55ED7"/>
    <w:rsid w:val="00F75DC0"/>
    <w:rsid w:val="00F87CFB"/>
    <w:rsid w:val="00FE08E7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739C9D-D227-4EC3-B3E1-CDC68EC8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B3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552FB5"/>
    <w:pPr>
      <w:ind w:left="720"/>
      <w:contextualSpacing/>
    </w:pPr>
  </w:style>
  <w:style w:type="table" w:styleId="ColorfulList-Accent3">
    <w:name w:val="Colorful List Accent 3"/>
    <w:basedOn w:val="TableNormal"/>
    <w:uiPriority w:val="63"/>
    <w:rsid w:val="000A566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uiPriority w:val="99"/>
    <w:unhideWhenUsed/>
    <w:rsid w:val="007A21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styleId="ListParagraph">
    <w:name w:val="List Paragraph"/>
    <w:basedOn w:val="Normal"/>
    <w:uiPriority w:val="34"/>
    <w:qFormat/>
    <w:rsid w:val="00F3093B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qFormat/>
    <w:rsid w:val="00F3093B"/>
    <w:rPr>
      <w:b/>
      <w:bCs/>
    </w:rPr>
  </w:style>
  <w:style w:type="table" w:styleId="TableGrid">
    <w:name w:val="Table Grid"/>
    <w:basedOn w:val="TableNormal"/>
    <w:uiPriority w:val="59"/>
    <w:rsid w:val="005F7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F758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dTable1Light-Accent6">
    <w:name w:val="Grid Table 1 Light Accent 6"/>
    <w:basedOn w:val="TableNormal"/>
    <w:uiPriority w:val="46"/>
    <w:rsid w:val="005F7588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uiPriority w:val="99"/>
    <w:semiHidden/>
    <w:unhideWhenUsed/>
    <w:rsid w:val="00DD5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7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77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D57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croll@glifwc.org" TargetMode="External"/><Relationship Id="rId1" Type="http://schemas.openxmlformats.org/officeDocument/2006/relationships/hyperlink" Target="mailto:kmschmit@mt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1EF4-7EA6-4BFE-ACA8-5AACBB1C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1935</CharactersWithSpaces>
  <SharedDoc>false</SharedDoc>
  <HLinks>
    <vt:vector size="6" baseType="variant">
      <vt:variant>
        <vt:i4>720916</vt:i4>
      </vt:variant>
      <vt:variant>
        <vt:i4>0</vt:i4>
      </vt:variant>
      <vt:variant>
        <vt:i4>0</vt:i4>
      </vt:variant>
      <vt:variant>
        <vt:i4>5</vt:i4>
      </vt:variant>
      <vt:variant>
        <vt:lpwstr>https://www.nrs.fs.fed.us/pubs/52760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Janowiak</dc:creator>
  <cp:keywords/>
  <cp:lastModifiedBy>Danielle Shannon</cp:lastModifiedBy>
  <cp:revision>2</cp:revision>
  <cp:lastPrinted>2013-08-16T17:31:00Z</cp:lastPrinted>
  <dcterms:created xsi:type="dcterms:W3CDTF">2019-03-01T20:31:00Z</dcterms:created>
  <dcterms:modified xsi:type="dcterms:W3CDTF">2019-03-01T20:31:00Z</dcterms:modified>
</cp:coreProperties>
</file>